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3A17" w14:textId="6B973E7B" w:rsidR="008B00C6" w:rsidRPr="00890655" w:rsidRDefault="008B00C6" w:rsidP="00890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Diário do Judiciário Eletrônico / TJMG Editais Terça-feira, 14 de junho de 2022</w:t>
      </w:r>
    </w:p>
    <w:p w14:paraId="639CE51B" w14:textId="66C42917" w:rsidR="008B00C6" w:rsidRPr="00890655" w:rsidRDefault="00A3037D" w:rsidP="00890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dje.tjmg.jus.br Edição nº: 107/2022 Página: 18 e 19 de 79</w:t>
      </w:r>
    </w:p>
    <w:p w14:paraId="0E694488" w14:textId="77777777" w:rsidR="00A3037D" w:rsidRPr="00890655" w:rsidRDefault="00A3037D" w:rsidP="00890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AA1A5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EDITAL DE LEILÃO. PODER JUDICIÁRIO DO ESTADO DE MINAS GERAIS. 24ª VARA CÍVEL DA COMARCA DE BELO HORIZONTE/MG. NÚMERO DO PROCESSO: 2598391-48.2004.8.13.0024.</w:t>
      </w:r>
      <w:r w:rsidRPr="00890655">
        <w:rPr>
          <w:rFonts w:ascii="Times New Roman" w:hAnsi="Times New Roman" w:cs="Times New Roman"/>
          <w:sz w:val="24"/>
          <w:szCs w:val="24"/>
        </w:rPr>
        <w:t xml:space="preserve"> EXEQUENTE: VIBRA ENERGIA S.A. EXECUTADO: NELSON DE PAULA ALMEIDA e outros. O leilão será exclusivamente eletrônico, e realizado no site www.saraivaleiloes.com.br. O presente Edital de Leilão e demais informações estão disponíveis no site ou pelo telefone (31) 3207-3900. </w:t>
      </w:r>
    </w:p>
    <w:p w14:paraId="48614EBF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1º LEILÃO:</w:t>
      </w:r>
      <w:r w:rsidRPr="00890655">
        <w:rPr>
          <w:rFonts w:ascii="Times New Roman" w:hAnsi="Times New Roman" w:cs="Times New Roman"/>
          <w:sz w:val="24"/>
          <w:szCs w:val="24"/>
        </w:rPr>
        <w:t xml:space="preserve"> início a partir da inserção do presente Edital no referido site, com encerramento no dia 11/07/2022 às 17:00 horas. Se não for arrematado no período do 1ª leilão, imediatamente inicia-se o período do 2ª leilão. </w:t>
      </w:r>
    </w:p>
    <w:p w14:paraId="7CDF63D6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2º LEILÃO: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 dia 28/07/2022 às 14:00 horas inicia o fechamento do 2º leilão, e os bens que não receberem ofertas, ficarão disponíveis para repasse e recebimento de lances. </w:t>
      </w:r>
    </w:p>
    <w:p w14:paraId="7DD471A1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LANCE MÍNIMO: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 1º leilão será aceito o maior lanço, com valor igual ou acima da avaliação, e no 2º leilão serão aceitos lances a partir de 60% da avaliação do bem. </w:t>
      </w:r>
    </w:p>
    <w:p w14:paraId="6A89E90C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DESCRIÇÃO DO BEM:</w:t>
      </w:r>
      <w:r w:rsidRPr="00890655">
        <w:rPr>
          <w:rFonts w:ascii="Times New Roman" w:hAnsi="Times New Roman" w:cs="Times New Roman"/>
          <w:sz w:val="24"/>
          <w:szCs w:val="24"/>
        </w:rPr>
        <w:t xml:space="preserve"> Terreno rural denominado Condado localizado nas Fazendas Morada e Buriti dos Almeidas, município de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Buenópolis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/MG, com área de aproximadamente 54,00ha de terras de culturas e 171,00ha de terras de campos, e as seguintes divisas e confrontações: começa no marco 01, cravado na barra do córrego do Buriti com o Rio das Pedras, nas proximidades da EFCB, em divisas com José Alves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Dupim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, sobe por córrego do Buriti acima, até encontrar a cerca de divisa com o mesmo José Alves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Dupim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, a 470m onde será cravado o marco 02; daí, segue a divisa pela cerca de divisa com José Alves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Dupim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, direção NO e vai alcançar aos 160m, as divisas com o aquinhoado, pela estrada a cerca de arame na direção SO, e vai encontrar as dívidas de José Maciel da Rocha, onde será cravado o marco 03, na quina da cerca; deste, virando rumo SE, por cerca e em divisa com José Maciel da Rocha, numa distância de 520m, vai alcançar o marco 04, que será cravado na margem direita do córrego do Buriti, nos fundos da casa onde morou Joaquim José dos Santos; deste, pelo córrego do Buriti, até alcançar o marco 05 que será cravado no canto da cerca de Manoel Alves; daí, segue as divisas com rumo SE, acompanhando a cerca de divisa com o mesmo Manoel e vai aos 380m, encontrar o marco 06, cravado junto a mesma cerca, onde está se encontra com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a cerca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 de divisa com a Larga denominada "cerca do cemitério"; deste segue mesma cerca de arame, indo encontrar o marco de divisa com o quinhão de Hilário José dos Santos, dividindo até ai com João Teixeira de Toledo; deste segue a divisa em reta pela cerca de arame vai ao marco cravado na divisa com o condômino Hilário e confrontante José Maciel da Rocha na estrada da casa de Hilário para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Buenópolis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, daí, segue para a referida estrada dividindo com o mesmo José Maciel da Rocha e por cerca de arame até o marco 18 numa extensão de 180m, e com rumo de 15º; daí a divisa vira a direita com rumo de 120° e vai por cerca dividindo com José Maciel da Rocha até encontrar o Rio das Pedras; daí pelo Rio das Pedras, acima até sua barra com córrego do Buriti, ponto inicial destas divisas. </w:t>
      </w:r>
    </w:p>
    <w:p w14:paraId="6BA24653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MATRÍCULA: </w:t>
      </w:r>
      <w:r w:rsidRPr="00890655">
        <w:rPr>
          <w:rFonts w:ascii="Times New Roman" w:hAnsi="Times New Roman" w:cs="Times New Roman"/>
          <w:sz w:val="24"/>
          <w:szCs w:val="24"/>
        </w:rPr>
        <w:t xml:space="preserve">4.184 no Cartório de Registro de Imóveis da Comarca de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Buenópolis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/MG. </w:t>
      </w:r>
    </w:p>
    <w:p w14:paraId="41F592EA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AVALIAÇÃO:</w:t>
      </w:r>
      <w:r w:rsidRPr="00890655">
        <w:rPr>
          <w:rFonts w:ascii="Times New Roman" w:hAnsi="Times New Roman" w:cs="Times New Roman"/>
          <w:sz w:val="24"/>
          <w:szCs w:val="24"/>
        </w:rPr>
        <w:t xml:space="preserve"> R$ 472.500,00 (quatrocentos e setenta e dois mil e quinhentos reais). </w:t>
      </w:r>
    </w:p>
    <w:p w14:paraId="4ADD2F66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FORMA DE PAGAMENTO DA</w:t>
      </w:r>
      <w:r w:rsidR="00890655">
        <w:rPr>
          <w:rFonts w:ascii="Times New Roman" w:hAnsi="Times New Roman" w:cs="Times New Roman"/>
          <w:sz w:val="24"/>
          <w:szCs w:val="24"/>
        </w:rPr>
        <w:t xml:space="preserve"> </w:t>
      </w:r>
      <w:r w:rsidRPr="00890655">
        <w:rPr>
          <w:rFonts w:ascii="Times New Roman" w:hAnsi="Times New Roman" w:cs="Times New Roman"/>
          <w:b/>
          <w:sz w:val="24"/>
          <w:szCs w:val="24"/>
        </w:rPr>
        <w:t>ARREMATAÇÃO:</w:t>
      </w:r>
      <w:r w:rsidRPr="00890655">
        <w:rPr>
          <w:rFonts w:ascii="Times New Roman" w:hAnsi="Times New Roman" w:cs="Times New Roman"/>
          <w:sz w:val="24"/>
          <w:szCs w:val="24"/>
        </w:rPr>
        <w:t xml:space="preserve"> o leilão será aberto para pagamento à vista e, se não houver oferta nesta condição, o pagamento poderá ser parcelado, com sinal de no mínimo 25% e o restante em até 30 parcelas. Caso no intercurso do leilão seja recebida oferta para pagamento à vista, esta prevalecerá (art. 895, inciso II, § 7º, do CPC). O pagamento à vista ou o sinal do pagamento parcelado, deverão ser realizados, através de depósito judicial, impreterivelmente no primeiro dia útil subsequente ao leilão independente da data que constar na guia judicial, e o comprovante deverá ser enviado para a Leiloeira no e-mail financeiro@saraivaleiloes.com.br na mesma data, até às 15 horas</w:t>
      </w:r>
    </w:p>
    <w:p w14:paraId="4E148FE9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ANOTAÇÕES AVERBADAS NA MATRÍCULA ATÉ O DIA 02/06/2022:</w:t>
      </w:r>
      <w:r w:rsidRPr="00890655">
        <w:rPr>
          <w:rFonts w:ascii="Times New Roman" w:hAnsi="Times New Roman" w:cs="Times New Roman"/>
          <w:sz w:val="24"/>
          <w:szCs w:val="24"/>
        </w:rPr>
        <w:t xml:space="preserve"> Hipoteca em favor de AGIP Distribuidora S/A (R-1); Penhora referente aos processos 90081-2009-056-03-00- 6 (Av-2), 0024.045325271 (Av-3); Ajuizamento da ação referente ao processo 0024.04532528-9 (Av-4). OBSERVAÇÃO: O interessado deverá verificar junto ao Cartório de Registro de Imóveis a existência de novas averbações após o dia 02/06/2022. </w:t>
      </w:r>
    </w:p>
    <w:p w14:paraId="41BE6566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CONDIÇÕES DO LEILÃO</w:t>
      </w:r>
      <w:r w:rsidRPr="00890655">
        <w:rPr>
          <w:rFonts w:ascii="Times New Roman" w:hAnsi="Times New Roman" w:cs="Times New Roman"/>
          <w:sz w:val="24"/>
          <w:szCs w:val="24"/>
        </w:rPr>
        <w:t xml:space="preserve">: Por ordem deste M.M Juiz, o presente leilão será regido pelo Decreto Lei 21.981/32, Código Penal, CPC, Portaria Conjunta nº 772/PR/2018 e CTN nas seguintes condições: </w:t>
      </w:r>
    </w:p>
    <w:p w14:paraId="286B4D6E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O Leilão será realizado pela Leiloeira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 Saraiva Portes Souza, Matrícula 441 - JUCEMG, a quem caberá 5% de comissão, na modalidade "eletrônico", nos termos e condições aqui descritas. A leiloeira fica autorizada a alternar a sequência de lotes caso julgue necessário. </w:t>
      </w:r>
    </w:p>
    <w:p w14:paraId="33D51F50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2º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caso de arrematação com pagamento parcelado, o sinal será depositado na forma e data indicadas acima, e as parcelas serão mensais e sucessivas, vencíveis a cada 30 (trinta) dias da data da arrematação e corrigidas de acordo com os fatores de atualização monetária do Tribunal de Justiça de Minas Gerais. </w:t>
      </w:r>
    </w:p>
    <w:p w14:paraId="4D7C6CBD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3º)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O pagamento das parcelas, com a devida correção será efetuado em guia de depósito judicial vinculada aos autos, retiradas no site https://depox.tjmg.jus.br/portaltjmg/pages/guia/publi </w:t>
      </w:r>
      <w:proofErr w:type="spellStart"/>
      <w:r w:rsidRPr="0089065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90655">
        <w:rPr>
          <w:rFonts w:ascii="Times New Roman" w:hAnsi="Times New Roman" w:cs="Times New Roman"/>
          <w:sz w:val="24"/>
          <w:szCs w:val="24"/>
        </w:rPr>
        <w:t xml:space="preserve">/ pelo próprio arrematante, que deverá comprovar o pagamento mensalmente com a juntada da guia devidamente quitada diretamente nos autos. </w:t>
      </w:r>
    </w:p>
    <w:p w14:paraId="5AA27856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4º</w:t>
      </w:r>
      <w:proofErr w:type="gramStart"/>
      <w:r w:rsidRPr="00890655">
        <w:rPr>
          <w:rFonts w:ascii="Times New Roman" w:hAnsi="Times New Roman" w:cs="Times New Roman"/>
          <w:sz w:val="24"/>
          <w:szCs w:val="24"/>
        </w:rPr>
        <w:t>) No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caso de atraso no pagamento de qualquer das prestações, incidirá multa de dez por cento sobre a soma da parcela inadimplida com as parcelas vincendas (art. 895, § 4º do CPC). O inadimplemento autoriza o exequente a pedir a resolução da arrematação ou promover, em face do arrematante, a execução do valor devido, devendo ambos os pedidos ser formulados nos autos da execução em que se deu a arrematação (art. 895, § 5º do CPC). </w:t>
      </w:r>
    </w:p>
    <w:p w14:paraId="6C041CC1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5º)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A venda parcelada será garantida por hipoteca judicial gravada sobre o próprio imóvel até a quitação. </w:t>
      </w:r>
    </w:p>
    <w:p w14:paraId="69200859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lastRenderedPageBreak/>
        <w:t>6º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leilão para pagamento à vista ou parcelado, a comissão da Leiloeira (5%) será depositada na integralidade, na data do leilão ou no dia subsequente, em conta bancária da Leiloeira, que será informada na confirmação da arrematação, e o comprovante deverá ser enviado via e-mail até às 15:00 horas da mesma data. </w:t>
      </w:r>
    </w:p>
    <w:p w14:paraId="0154842D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7º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caso de inadimplemento ou desistência da arrematação por qualquer motivo, exceto os previstos em lei, o arrematante não terá direito à devolução da comissão da Leiloeira, que reterá o valor correspondente. E, na hipótese de não pagamento da comissão, a Leiloeira poderá promover a execução do valor devido nos próprios autos ou, ainda, levar o título (Auto de Arrematação) a protesto perante o Cartório competente (CPC, art. 515, V). </w:t>
      </w:r>
    </w:p>
    <w:p w14:paraId="3DEC82B1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8º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Nos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termos da PORTARIA CONJUNTA 772/PR/2018, art. 29, "Não comprovado o depósito do lance e o pagamento da comissão no prazo determinado no edital, o leiloeiro público comunicará o fato ao licitante com maior lance subsequente, a fim de que este possa exercer seu direito de opção. Parágrafo único. A aplicação do disposto no "caput" deste artigo não isenta o licitante inadimplente do pagamento de multa, se for o caso, a ser determinado pelo juízo, e da responsabilização civil e criminal, nos termos do art. 335 do Código Penal.". </w:t>
      </w:r>
    </w:p>
    <w:p w14:paraId="09507899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9º)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Poderá a Leiloeira inabilitar para participar de leilão, o licitante que não tenha cumprido com anteriores obrigações de pagamento e condições, em arrematação de leilão judicial. </w:t>
      </w:r>
    </w:p>
    <w:p w14:paraId="01340B8F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10º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Para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participar do leilão eletrônico, o interessado deverá se cadastrar e habilitar no site www.saraivaleiloes.com.br, e somente após a análise dos documentos obrigatórios e liberação do login poderá ofertar os lances. </w:t>
      </w:r>
    </w:p>
    <w:p w14:paraId="1784E862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11º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Compete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ao interessado na arrematação, a verificação do estado de conservação dos bens, não podendo o arrematante alegar desconhecimento de suas condições, características, compartimentos internos, estado de conservação e localização. As alienações são feitas em caráter "AD-CORPUS", sendo que as áreas mencionadas nos editais, catálogos e outros veículos de comunicação, são meramente enunciativas. Caso as benfeitorias informadas no auto de avaliação não estejam averbadas na matrícula do imóvel, caberá ao arrematante sua regularização. </w:t>
      </w:r>
    </w:p>
    <w:p w14:paraId="321D9E09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12º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caso de acordo ou pagamento da dívida (remição), se requerido após leilão com recebimento de lance, a leiloeira será remunerada com o correspondente a 5% (cinco por cento) sobre o valor da arrematação, a ser pago pelo Executado, na data do acordo ou remição. Na hipótese de cancelamento do leilão por motivo de pagamento da dívida ou acordo após a publicação do edital e antes do leilão, fica arbitrado os honorários de 2% sobre o valor da avaliação do bem, a ser custeado pelo Executado, a título de ressarcimento das despesas e serviços prestados que antecederam o leilão. </w:t>
      </w:r>
    </w:p>
    <w:p w14:paraId="21F50CE4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13º)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Nos termos do CPC/15, Art. 887, § 2º e PORTARIA CONJUNTA 772/PR/2018, art. 9º, § 2º, o presente edital será publicado no site: </w:t>
      </w:r>
      <w:proofErr w:type="gramStart"/>
      <w:r w:rsidRPr="00890655">
        <w:rPr>
          <w:rFonts w:ascii="Times New Roman" w:hAnsi="Times New Roman" w:cs="Times New Roman"/>
          <w:sz w:val="24"/>
          <w:szCs w:val="24"/>
        </w:rPr>
        <w:t>www.saraivaleiloes.com.br .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189B7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14º)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O Tribunal de Justiça de Minas Gerais reserva-se o direito de incluir ou excluir bens do leilão. </w:t>
      </w:r>
    </w:p>
    <w:p w14:paraId="656BC16D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lastRenderedPageBreak/>
        <w:t>15º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bens que não receberem ofertas, ficarão disponíveis no site para repasse e recebimento de lances. </w:t>
      </w:r>
    </w:p>
    <w:p w14:paraId="7B52AD9E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16º)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A arrematação só será concluída após a homologação pelo MM. Juiz da Vara competente e julgamento de eventuais recursos. </w:t>
      </w:r>
    </w:p>
    <w:p w14:paraId="5AA7C99A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17º)</w:t>
      </w:r>
      <w:r w:rsidRPr="00890655">
        <w:rPr>
          <w:rFonts w:ascii="Times New Roman" w:hAnsi="Times New Roman" w:cs="Times New Roman"/>
          <w:sz w:val="24"/>
          <w:szCs w:val="24"/>
        </w:rPr>
        <w:t xml:space="preserve"> A Nota de Arrematação será expedida pela leiloeira após trânsito em julgado de eventuais recursos e entrega do bem. </w:t>
      </w:r>
    </w:p>
    <w:p w14:paraId="55140650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0655">
        <w:rPr>
          <w:rFonts w:ascii="Times New Roman" w:hAnsi="Times New Roman" w:cs="Times New Roman"/>
          <w:b/>
          <w:sz w:val="24"/>
          <w:szCs w:val="24"/>
        </w:rPr>
        <w:t>18º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  <w:r w:rsidRPr="00890655">
        <w:rPr>
          <w:rFonts w:ascii="Times New Roman" w:hAnsi="Times New Roman" w:cs="Times New Roman"/>
          <w:sz w:val="24"/>
          <w:szCs w:val="24"/>
        </w:rPr>
        <w:t xml:space="preserve"> Por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ordem do Juízo e por força da lei, caso o devedor não seja encontrado pelo Sr. Oficial de Justiça, fica pelo presente Edital, intimado do leilão e dos ônus que lhe serão impostos, referidos no 12º item. </w:t>
      </w:r>
    </w:p>
    <w:p w14:paraId="34E8C385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19º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Ficam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desde já intimadas as partes, os coproprietários, seus cônjuges se casados forem, Credores Hipotecários ou Fiduciários e credores com penhoras averbadas. </w:t>
      </w:r>
    </w:p>
    <w:p w14:paraId="2FA93E24" w14:textId="77777777" w:rsid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20º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Após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a oferta, o licitante vencedor fica obrigado ao pagamento da arrematação e da comissão da leiloeira, e não poderá por qualquer motivo alegar desistência. Caso tenha identificado algum vício, deverá realizar os pagamentos no prazo estabelecido neste edital, e comprovar nos autos a sua alegação. Após apreciação e decisão do juiz, os valores poderão ser restituídos. A desistência sem o cumprimento da obrigação será considerada "perturbação" ao leilão. </w:t>
      </w:r>
    </w:p>
    <w:p w14:paraId="0842B6D3" w14:textId="60A18647" w:rsidR="008B00C6" w:rsidRPr="00890655" w:rsidRDefault="008B00C6" w:rsidP="00890655">
      <w:pPr>
        <w:jc w:val="both"/>
        <w:rPr>
          <w:rFonts w:ascii="Times New Roman" w:hAnsi="Times New Roman" w:cs="Times New Roman"/>
          <w:sz w:val="24"/>
          <w:szCs w:val="24"/>
        </w:rPr>
      </w:pPr>
      <w:r w:rsidRPr="00890655">
        <w:rPr>
          <w:rFonts w:ascii="Times New Roman" w:hAnsi="Times New Roman" w:cs="Times New Roman"/>
          <w:b/>
          <w:sz w:val="24"/>
          <w:szCs w:val="24"/>
        </w:rPr>
        <w:t>21º</w:t>
      </w:r>
      <w:proofErr w:type="gramStart"/>
      <w:r w:rsidRPr="00890655">
        <w:rPr>
          <w:rFonts w:ascii="Times New Roman" w:hAnsi="Times New Roman" w:cs="Times New Roman"/>
          <w:b/>
          <w:sz w:val="24"/>
          <w:szCs w:val="24"/>
        </w:rPr>
        <w:t>)</w:t>
      </w:r>
      <w:r w:rsidRPr="00890655">
        <w:rPr>
          <w:rFonts w:ascii="Times New Roman" w:hAnsi="Times New Roman" w:cs="Times New Roman"/>
          <w:sz w:val="24"/>
          <w:szCs w:val="24"/>
        </w:rPr>
        <w:t xml:space="preserve"> Nos</w:t>
      </w:r>
      <w:proofErr w:type="gramEnd"/>
      <w:r w:rsidRPr="00890655">
        <w:rPr>
          <w:rFonts w:ascii="Times New Roman" w:hAnsi="Times New Roman" w:cs="Times New Roman"/>
          <w:sz w:val="24"/>
          <w:szCs w:val="24"/>
        </w:rPr>
        <w:t xml:space="preserve"> termos do Art. 358 do Código Penal, quem impedir, perturbar ou fraudar a arrematação judicial, afastar ou procurar afastar concorrente ou licitante, por meio de violência, grave ameaça, fraude ou oferecimento de vantagem, estará sujeito à pena de detenção de dois meses a um ano, ou multa, além da pena correspondente à violência. Por ordem deste Juízo, foi expedido o presente Edital em 08/06/2022</w:t>
      </w:r>
    </w:p>
    <w:p w14:paraId="2102CEED" w14:textId="03C915F8" w:rsidR="00A3037D" w:rsidRPr="00890655" w:rsidRDefault="00A3037D" w:rsidP="00890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C8397" w14:textId="7C31100B" w:rsidR="00A3037D" w:rsidRPr="00890655" w:rsidRDefault="00A3037D" w:rsidP="008906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37D" w:rsidRPr="00890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C6"/>
    <w:rsid w:val="00010083"/>
    <w:rsid w:val="001B5AEA"/>
    <w:rsid w:val="00336D12"/>
    <w:rsid w:val="00534F71"/>
    <w:rsid w:val="00890655"/>
    <w:rsid w:val="008B00C6"/>
    <w:rsid w:val="00A3037D"/>
    <w:rsid w:val="00B826E9"/>
    <w:rsid w:val="00C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B24B"/>
  <w15:chartTrackingRefBased/>
  <w15:docId w15:val="{AAA615EB-56D2-40FC-9FC3-2B4A102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1696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Sirio Sirio</dc:creator>
  <cp:keywords/>
  <dc:description/>
  <cp:lastModifiedBy>Saraiva Leilões</cp:lastModifiedBy>
  <cp:revision>4</cp:revision>
  <dcterms:created xsi:type="dcterms:W3CDTF">2022-06-15T11:10:00Z</dcterms:created>
  <dcterms:modified xsi:type="dcterms:W3CDTF">2022-06-23T21:02:00Z</dcterms:modified>
</cp:coreProperties>
</file>