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E90D" w14:textId="3169E00D" w:rsidR="00596401" w:rsidRPr="00596401" w:rsidRDefault="00596401" w:rsidP="005964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</w:pPr>
      <w:r w:rsidRPr="005A40BE"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  <w:t>Seção de Hasta Pública</w:t>
      </w:r>
    </w:p>
    <w:p w14:paraId="03FD8F2A" w14:textId="19A08A2F" w:rsidR="00596401" w:rsidRDefault="00596401" w:rsidP="005964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</w:pPr>
      <w:r w:rsidRPr="005A40BE"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  <w:t>Tribunal Regional do Trabalho da 6ª Região (TRT-PE)</w:t>
      </w:r>
    </w:p>
    <w:p w14:paraId="3EE1F30F" w14:textId="77777777" w:rsidR="00596401" w:rsidRPr="005A40BE" w:rsidRDefault="00596401" w:rsidP="0059640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pt-BR"/>
        </w:rPr>
      </w:pPr>
    </w:p>
    <w:p w14:paraId="23939F02" w14:textId="7147C5BF" w:rsidR="006A60C4" w:rsidRDefault="006A60C4" w:rsidP="006A60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</w:pPr>
      <w:r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>Termo de abertura</w:t>
      </w:r>
      <w:r w:rsidR="005A40BE" w:rsidRPr="005A40BE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 xml:space="preserve"> do</w:t>
      </w:r>
    </w:p>
    <w:p w14:paraId="6C10A1BD" w14:textId="0D8788B1" w:rsidR="00596401" w:rsidRPr="00596401" w:rsidRDefault="005A40BE" w:rsidP="006A60C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</w:pPr>
      <w:r w:rsidRPr="005A40BE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 xml:space="preserve">Leilão </w:t>
      </w:r>
      <w:r w:rsidR="00596401" w:rsidRPr="00596401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>Unicamente “</w:t>
      </w:r>
      <w:proofErr w:type="spellStart"/>
      <w:r w:rsidR="00596401" w:rsidRPr="00596401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>on</w:t>
      </w:r>
      <w:proofErr w:type="spellEnd"/>
      <w:r w:rsidR="00596401" w:rsidRPr="00596401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 xml:space="preserve"> </w:t>
      </w:r>
      <w:proofErr w:type="spellStart"/>
      <w:r w:rsidR="00596401" w:rsidRPr="00596401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>line</w:t>
      </w:r>
      <w:proofErr w:type="spellEnd"/>
      <w:r w:rsidR="00596401" w:rsidRPr="00596401">
        <w:rPr>
          <w:rFonts w:ascii="Arial" w:eastAsia="Times New Roman" w:hAnsi="Arial" w:cs="Arial"/>
          <w:color w:val="333333"/>
          <w:kern w:val="36"/>
          <w:sz w:val="44"/>
          <w:szCs w:val="44"/>
          <w:lang w:eastAsia="pt-BR"/>
        </w:rPr>
        <w:t>”</w:t>
      </w:r>
    </w:p>
    <w:p w14:paraId="4A706F68" w14:textId="40F0747B" w:rsidR="005A40BE" w:rsidRDefault="005A40BE" w:rsidP="005A40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14:paraId="3C72E6B2" w14:textId="0CC150F2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40"/>
          <w:szCs w:val="40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1. Os leilões das Varas do Trabalho do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TRT6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são realizados de acordo com o 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alendário </w:t>
      </w:r>
      <w:proofErr w:type="spellStart"/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Unificdo</w:t>
      </w:r>
      <w:proofErr w:type="spellEnd"/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disponível no site do Tribunal (</w:t>
      </w:r>
      <w:hyperlink r:id="rId4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www.trt6.jus.br/portal</w:t>
        </w:r>
      </w:hyperlink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 – no menu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Serviços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submenu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Leilão judicial – 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e estão regulamentados pela </w:t>
      </w:r>
      <w:hyperlink r:id="rId5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Resolução Administrativa (R.A) 26/2017, (.</w:t>
        </w:r>
        <w:proofErr w:type="spellStart"/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odt</w:t>
        </w:r>
        <w:proofErr w:type="spellEnd"/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 xml:space="preserve"> 54.66 KB)</w:t>
        </w:r>
      </w:hyperlink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também disponível nes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mesmo endereço eletrônico. Eles têm início impreterivelmente às 09 horas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(horário local)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terminam com o </w:t>
      </w:r>
      <w:proofErr w:type="spellStart"/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apregoamento</w:t>
      </w:r>
      <w:proofErr w:type="spellEnd"/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do último edital (sem previsão de horário). </w:t>
      </w:r>
      <w:r w:rsidR="00F1429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Podendo haver intervalo de até 30 minutos.</w:t>
      </w:r>
    </w:p>
    <w:p w14:paraId="1F090CB6" w14:textId="6D623EE5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2. 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Com fulcro no </w:t>
      </w:r>
      <w:r w:rsidR="00B56C7C" w:rsidRPr="00B56C7C">
        <w:rPr>
          <w:rFonts w:ascii="Arial" w:hAnsi="Arial" w:cs="Arial"/>
          <w:sz w:val="21"/>
          <w:szCs w:val="21"/>
        </w:rPr>
        <w:t>Ato Conjunto TRT6-GP/GVP/GCR-06/2020, de 29.04.2020</w:t>
      </w:r>
      <w:r w:rsidR="00B56C7C">
        <w:rPr>
          <w:rFonts w:ascii="Arial" w:hAnsi="Arial" w:cs="Arial"/>
          <w:sz w:val="21"/>
          <w:szCs w:val="21"/>
        </w:rPr>
        <w:t>,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todos os processos serão apregoados por leiloeiro oficial, </w:t>
      </w:r>
      <w:r w:rsidR="00596401" w:rsidRPr="004709F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UNICAMENTE</w:t>
      </w:r>
      <w:r w:rsidRPr="004709F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na modalidade </w:t>
      </w:r>
      <w:r w:rsidR="004709F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eletrônica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enquanto perdurar a suspensão do atendimento presencial nos fóruns trabalhistas do TRT6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ou no prazo que determinar o juízo competente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14:paraId="393977FC" w14:textId="3C124092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3. 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Somente as pessoas que estiverem com o cadastro devidamente homologado poderão ofertar lanços ON-LINE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O cadastramento é valido para todas as varas d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3961FF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TRT 6ª Região 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é realizado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inicialmente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por meio do site d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esse Regional trabalhista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através da ferramenta </w:t>
      </w:r>
      <w:hyperlink r:id="rId6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CPTEC (Cadastro Eletrônico de Peritos e Órgãos Técnicos ou Científicos)</w:t>
        </w:r>
        <w:r w:rsidRPr="005A40BE">
          <w:rPr>
            <w:rFonts w:ascii="Arial" w:eastAsia="Times New Roman" w:hAnsi="Arial" w:cs="Arial"/>
            <w:color w:val="003366"/>
            <w:sz w:val="21"/>
            <w:szCs w:val="21"/>
            <w:lang w:eastAsia="pt-BR"/>
          </w:rPr>
          <w:t> (link externo)</w:t>
        </w:r>
      </w:hyperlink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preenchendo ficha cadastral e fazendo o </w:t>
      </w:r>
      <w:r w:rsidRPr="005A40BE">
        <w:rPr>
          <w:rFonts w:ascii="Arial" w:eastAsia="Times New Roman" w:hAnsi="Arial" w:cs="Arial"/>
          <w:i/>
          <w:iCs/>
          <w:color w:val="333333"/>
          <w:sz w:val="21"/>
          <w:szCs w:val="21"/>
          <w:lang w:eastAsia="pt-BR"/>
        </w:rPr>
        <w:t>upload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da documentação solicitada: RG, CPF e comprovante de residência do licitante, para as pessoas físicas. No caso de pessoa jurídica, deve ser acrescido o contrato social da empresa, ficha cadastral do CNPJ e procuração com firma reconhecida, no caso de preposto, tudo conforme R.A 026/2017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Em seguida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faz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-se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necessário também, o cadastramento no site dos leiloeiros credenciados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onde serão acolhidas as propostas de lanços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14:paraId="6CBCDE87" w14:textId="5EC9E9DF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4. Os resumos dos Editais de 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Praça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(com a descrição do bem penhorado) podem ser consultados no site do Tribunal – Menu Serviços, submenu Leilão judicial, link </w:t>
      </w:r>
      <w:hyperlink r:id="rId7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Consulta das pautas e resultados</w:t>
        </w:r>
        <w:r w:rsidRPr="005A40BE">
          <w:rPr>
            <w:rFonts w:ascii="Arial" w:eastAsia="Times New Roman" w:hAnsi="Arial" w:cs="Arial"/>
            <w:color w:val="003366"/>
            <w:sz w:val="21"/>
            <w:szCs w:val="21"/>
            <w:lang w:eastAsia="pt-BR"/>
          </w:rPr>
          <w:t> (link externo)</w:t>
        </w:r>
      </w:hyperlink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 ou 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ainda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no site dos leiloeiros, logo após publicação no </w:t>
      </w:r>
      <w:hyperlink r:id="rId8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Diário da Justiça do Trabalho</w:t>
        </w:r>
      </w:hyperlink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(DEJT).</w:t>
      </w:r>
    </w:p>
    <w:p w14:paraId="24B1D509" w14:textId="1E29134D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5. Os valores de lanço inicial para arremate são baseados nos percentuais previamente 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estipulados em Edital de Praça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servem unicamente como parâmetro para os lanços iniciais,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não implicando, necessariamente, no deferimento do mesmo.</w:t>
      </w:r>
    </w:p>
    <w:p w14:paraId="554674A3" w14:textId="454D3E75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6. A adjudicação ou remição devem ser efetuadas n</w:t>
      </w:r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respectiv</w:t>
      </w:r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B56C7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processo</w:t>
      </w:r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</w:t>
      </w:r>
      <w:proofErr w:type="spellStart"/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PJe</w:t>
      </w:r>
      <w:proofErr w:type="spellEnd"/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não obstante poderá o </w:t>
      </w:r>
      <w:r w:rsidR="00A10F2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leiloeiro 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registrar a arrematação do adjudicante, em sendo o maior lanço ofertado,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ou seja, desde que haja disputa de lanços,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conforme </w:t>
      </w:r>
      <w:r w:rsidR="003961F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prevê os </w:t>
      </w:r>
      <w:proofErr w:type="spellStart"/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arts</w:t>
      </w:r>
      <w:proofErr w:type="spellEnd"/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876 e 877 do novo CPC, e informar à vara de origem.</w:t>
      </w:r>
    </w:p>
    <w:p w14:paraId="0AF57E2A" w14:textId="37CDC5B3" w:rsidR="005A40BE" w:rsidRPr="005A40BE" w:rsidRDefault="005A40BE" w:rsidP="005A40B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7. Solicita-se aos arrematantes que prestem a máxima atenção à descrição dos bens, questionando sobre quaisquer dúvidas, a fim de evitar reclamações posteriores sobre discrepância de valores, características do bem, etc. 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Conforme previsto nas regras de cadastramento de licitante</w:t>
      </w:r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(art.24 da R.A-26/2017)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este confere poderes para o leiloeiro </w:t>
      </w:r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credenciado para 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assinar</w:t>
      </w:r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em seu nome</w:t>
      </w:r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6D397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certificando as suas</w:t>
      </w:r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arrematações “</w:t>
      </w:r>
      <w:proofErr w:type="spellStart"/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on</w:t>
      </w:r>
      <w:proofErr w:type="spellEnd"/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line</w:t>
      </w:r>
      <w:proofErr w:type="spellEnd"/>
      <w:r w:rsidR="00E3593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”.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14:paraId="04B17365" w14:textId="24C7FCDD" w:rsidR="00C02A3B" w:rsidRDefault="006D3979" w:rsidP="009F6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 w:rsidR="005A40BE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Cada </w:t>
      </w:r>
      <w:r w:rsidR="005A40BE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sessão 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leilão “</w:t>
      </w:r>
      <w:proofErr w:type="spellStart"/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on</w:t>
      </w:r>
      <w:proofErr w:type="spellEnd"/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spellStart"/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line</w:t>
      </w:r>
      <w:proofErr w:type="spellEnd"/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” transcorrerá integralmente sob a responsabilidade de um único leiloeiro, no dia para o qual for designado em Edita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is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Praça, 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por meio da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ferramenta eletrônica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(site)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desse mesmo leiloeiro designado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; a sessão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será gravada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pela equipe desse leiloeiro, em arquivo à disposição </w:t>
      </w:r>
      <w:r w:rsidR="005A40BE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8C1D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juízo competente</w:t>
      </w:r>
      <w:r w:rsidR="004709F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 leiloeiro responsável lavrará uma Ata da Sessão relatando os processos arrematados, os sustados e os que não houve licitantes e ainda os incidentes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por ventura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ocorridos na sessão. A referida Ata deverá ser 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lastRenderedPageBreak/>
        <w:t>encaminhada para a Seção de Hasta Pública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para as respectivas Varas participantes do leilão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O leiloeiro lavrará ainda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ao final de cada sessão,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individualmente (para cada processo)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</w:t>
      </w:r>
      <w:r w:rsidR="00FE099B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C</w:t>
      </w:r>
      <w:r w:rsidR="00201588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ertid</w:t>
      </w:r>
      <w:r w:rsidR="00FE099B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ão</w:t>
      </w:r>
      <w:r w:rsidR="00201588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de </w:t>
      </w:r>
      <w:r w:rsidR="00FE099B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A</w:t>
      </w:r>
      <w:r w:rsidR="00201588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rrematação</w:t>
      </w:r>
      <w:r w:rsidR="0020158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(documento não conclusivo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não homologatório)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ou 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 </w:t>
      </w:r>
      <w:r w:rsidR="00FE099B" w:rsidRP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Certidão de Inexistência de Lanço (Negativa de Lanço)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também individualmente para cada processo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e, em seguida, 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 remeterá para as respectivas varas, para serem submetidas ao juízo competente que poderá homologar (deferir)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FE099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não, as arrematações registradas</w:t>
      </w:r>
      <w:r w:rsidR="005102A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pelo leiloeiro.</w:t>
      </w:r>
    </w:p>
    <w:p w14:paraId="121A4A1C" w14:textId="70D81D4B" w:rsidR="009F63E6" w:rsidRPr="009F63E6" w:rsidRDefault="006D3979" w:rsidP="009F63E6">
      <w:pPr>
        <w:jc w:val="both"/>
        <w:rPr>
          <w:rFonts w:cstheme="minorHAnsi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9F63E6" w:rsidRP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  <w:r w:rsidR="009F63E6" w:rsidRPr="009F63E6">
        <w:rPr>
          <w:rFonts w:ascii="Arial" w:hAnsi="Arial" w:cs="Arial"/>
          <w:sz w:val="21"/>
          <w:szCs w:val="21"/>
        </w:rPr>
        <w:t>O leiloeiro responsável, de forma diligente, cientifica o licitante (por meio de e-mail) e encaminha a esse, o Auto de Arrematação e as Guias de Depósitos Judiciais Trabalhistas geradas no formulário específico do banco de preferência do arrematante (BANCO DO BRASIL ou CAIXA), ou, em situação de indeferimento do lanço, comunica o fato ao licitante autor do maior lanço. Nesse momento, inicia-se a contagem, no excepcional prazo de 5 dias úteis, para comprovação do pagamento do lanço e da comissão do leiloeiro nos processos em que foram arrematados e deferidos.</w:t>
      </w:r>
    </w:p>
    <w:p w14:paraId="0E18FDFA" w14:textId="5C509978" w:rsidR="009F63E6" w:rsidRPr="00FE25D1" w:rsidRDefault="006D3979" w:rsidP="009F6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10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 De posse do Auto de Arrematação devidamente assinado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pelo juízo competente e encaminhado pelo leiloeiro habilitado no processo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o arrematante deverá se dirigir ao banco credenciado – Banco do Brasil ou Caixa Econômica Federal – ou a outro banco de sua preferência, munido da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  <w:r w:rsidR="009F63E6"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Guia</w:t>
      </w:r>
      <w:r w:rsidR="009F63E6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s</w:t>
      </w:r>
      <w:r w:rsidR="009F63E6"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 xml:space="preserve"> de Depósito Judicial Trabalhista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(boletos bancários) 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devidamente preenchida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que poder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ão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ser gerada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nos sites das instituições bancárias credenciadas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e, de forma diligente (no prazo de 5 dias úteis), efetuar os pagamentos e remeter os arquivos individuais (referente a cada processo arrematado) contendo os comprovantes de pagamento, para o e-mail do leiloeiro responsável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 sob pena de ser considerado remisso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9F63E6" w:rsidRPr="00FE25D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sujeito às penalidades legais (</w:t>
      </w:r>
      <w:hyperlink r:id="rId9" w:history="1">
        <w:r w:rsidR="009F63E6" w:rsidRPr="00FE25D1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art. 897 do Código de Processo Civil</w:t>
        </w:r>
        <w:r w:rsidR="009F63E6" w:rsidRPr="00FE25D1">
          <w:rPr>
            <w:rFonts w:ascii="Arial" w:eastAsia="Times New Roman" w:hAnsi="Arial" w:cs="Arial"/>
            <w:color w:val="003366"/>
            <w:sz w:val="21"/>
            <w:szCs w:val="21"/>
            <w:lang w:eastAsia="pt-BR"/>
          </w:rPr>
          <w:t> (link externo)</w:t>
        </w:r>
      </w:hyperlink>
      <w:r w:rsidR="009F63E6" w:rsidRPr="00FE25D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). O TRT poderá valer-se ainda da prerrogativa do segundo maior lanço.</w:t>
      </w:r>
    </w:p>
    <w:p w14:paraId="6FD42008" w14:textId="77777777" w:rsidR="009F63E6" w:rsidRPr="005A40BE" w:rsidRDefault="009F63E6" w:rsidP="009F6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Observação: </w:t>
      </w:r>
      <w:hyperlink r:id="rId10" w:history="1">
        <w:r w:rsidRPr="005A40BE">
          <w:rPr>
            <w:rFonts w:ascii="Arial" w:eastAsia="Times New Roman" w:hAnsi="Arial" w:cs="Arial"/>
            <w:color w:val="003366"/>
            <w:sz w:val="21"/>
            <w:szCs w:val="21"/>
            <w:u w:val="single"/>
            <w:lang w:eastAsia="pt-BR"/>
          </w:rPr>
          <w:t>Tutorial para emitir Guia de Depósito Judicial Trabalhista no site da Caixa Econômica Federal.</w:t>
        </w:r>
      </w:hyperlink>
    </w:p>
    <w:p w14:paraId="37DDC64C" w14:textId="2E429DF1" w:rsidR="009F63E6" w:rsidRPr="005A40BE" w:rsidRDefault="006D3979" w:rsidP="009F6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 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É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dever do arrematante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além do pagamento do lanço, 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efetuar o pagamento da comissão do leiloeiro oficial, cujo 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valor corresponde a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5% (cinco por cento) sobre o valor do lanço, 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quer 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seja para bens móvei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 ou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imóveis. 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Esse pagamento deverá ser realizado nas condições acima descritas e numa </w:t>
      </w:r>
      <w:r w:rsidR="009F63E6"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Guia de Depósito Judicial Trabalhista</w:t>
      </w:r>
      <w:r w:rsidR="009F63E6"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 </w:t>
      </w:r>
      <w:r w:rsidR="009F63E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(boleto bancário) distinta daquela utilizada para pagamento do lanço.</w:t>
      </w:r>
    </w:p>
    <w:p w14:paraId="520D20F5" w14:textId="63D14D7B" w:rsidR="009F63E6" w:rsidRPr="005A40BE" w:rsidRDefault="009F63E6" w:rsidP="009F63E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6D397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 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Após efetuado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 os pagamentos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remetidos os respectivos comprovantes para o e-mail do leiloeiro responsável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o arrematante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deverá aguardar os prazos legais e a conclusão dos procedimentos internos à Vara, para expedição 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do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Mandado de Entrega do Bem 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da </w:t>
      </w:r>
      <w:r w:rsidRPr="005A40BE">
        <w:rPr>
          <w:rFonts w:ascii="Arial" w:eastAsia="Times New Roman" w:hAnsi="Arial" w:cs="Arial"/>
          <w:b/>
          <w:bCs/>
          <w:color w:val="333333"/>
          <w:sz w:val="21"/>
          <w:szCs w:val="21"/>
          <w:lang w:eastAsia="pt-BR"/>
        </w:rPr>
        <w:t>Carta de Arrematação</w:t>
      </w:r>
      <w:r w:rsidRPr="005A40B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mesmo arrematante deverá estar atento a possíveis notificações que possam ser enviadas para a sua conta de e-mail cadastrada.</w:t>
      </w:r>
    </w:p>
    <w:p w14:paraId="04D661DF" w14:textId="1599C3C1" w:rsidR="009F63E6" w:rsidRDefault="009F63E6" w:rsidP="009F63E6">
      <w:pPr>
        <w:shd w:val="clear" w:color="auto" w:fill="FFFFFF"/>
        <w:spacing w:after="150" w:line="240" w:lineRule="auto"/>
        <w:jc w:val="both"/>
      </w:pPr>
    </w:p>
    <w:sectPr w:rsidR="009F6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BE"/>
    <w:rsid w:val="00201588"/>
    <w:rsid w:val="003961FF"/>
    <w:rsid w:val="004709F6"/>
    <w:rsid w:val="005102A9"/>
    <w:rsid w:val="00596401"/>
    <w:rsid w:val="005A40BE"/>
    <w:rsid w:val="006A60C4"/>
    <w:rsid w:val="006D3979"/>
    <w:rsid w:val="008C1D6D"/>
    <w:rsid w:val="0098175D"/>
    <w:rsid w:val="009F63E6"/>
    <w:rsid w:val="00A10F2F"/>
    <w:rsid w:val="00B56C7C"/>
    <w:rsid w:val="00C02A3B"/>
    <w:rsid w:val="00C56ABC"/>
    <w:rsid w:val="00E3593A"/>
    <w:rsid w:val="00F14299"/>
    <w:rsid w:val="00FE099B"/>
    <w:rsid w:val="00FE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FA73"/>
  <w15:chartTrackingRefBased/>
  <w15:docId w15:val="{516091FA-1847-4AF8-8043-BCD23DB2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A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40B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submitted">
    <w:name w:val="submitted"/>
    <w:basedOn w:val="Normal"/>
    <w:rsid w:val="005A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meago">
    <w:name w:val="timeago"/>
    <w:basedOn w:val="Fontepargpadro"/>
    <w:rsid w:val="005A40BE"/>
  </w:style>
  <w:style w:type="paragraph" w:styleId="NormalWeb">
    <w:name w:val="Normal (Web)"/>
    <w:basedOn w:val="Normal"/>
    <w:uiPriority w:val="99"/>
    <w:semiHidden/>
    <w:unhideWhenUsed/>
    <w:rsid w:val="005A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40BE"/>
    <w:rPr>
      <w:color w:val="0000FF"/>
      <w:u w:val="single"/>
    </w:rPr>
  </w:style>
  <w:style w:type="character" w:customStyle="1" w:styleId="element-invisible">
    <w:name w:val="element-invisible"/>
    <w:basedOn w:val="Fontepargpadro"/>
    <w:rsid w:val="005A40BE"/>
  </w:style>
  <w:style w:type="character" w:styleId="Forte">
    <w:name w:val="Strong"/>
    <w:basedOn w:val="Fontepargpadro"/>
    <w:uiPriority w:val="22"/>
    <w:qFormat/>
    <w:rsid w:val="005A40BE"/>
    <w:rPr>
      <w:b/>
      <w:bCs/>
    </w:rPr>
  </w:style>
  <w:style w:type="paragraph" w:styleId="PargrafodaLista">
    <w:name w:val="List Paragraph"/>
    <w:basedOn w:val="Normal"/>
    <w:uiPriority w:val="34"/>
    <w:qFormat/>
    <w:rsid w:val="009F63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5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t6.jus.br/portal/dejt-diario-eletronico-da-justica-do-trabal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s.trt6.jus.br/leilaoju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trt6.jus.br/cptec/pages/login.x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t6.jus.br/portal/sites/default/files/documents/reso0026201743102v2.odt" TargetMode="External"/><Relationship Id="rId10" Type="http://schemas.openxmlformats.org/officeDocument/2006/relationships/hyperlink" Target="https://www.trt6.jus.br/portal/sites/default/files/documents/guia_de_deposito_judicial_trabalhista_tutorial_da_caixa_economica_federal.pdf" TargetMode="External"/><Relationship Id="rId4" Type="http://schemas.openxmlformats.org/officeDocument/2006/relationships/hyperlink" Target="http://www.trt6.jus.br/portal" TargetMode="External"/><Relationship Id="rId9" Type="http://schemas.openxmlformats.org/officeDocument/2006/relationships/hyperlink" Target="http://www.planalto.gov.br/ccivil_03/_ato2015-2018/2015/lei/l13105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SOARES</dc:creator>
  <cp:keywords/>
  <dc:description/>
  <cp:lastModifiedBy>GLENN SOARES</cp:lastModifiedBy>
  <cp:revision>5</cp:revision>
  <dcterms:created xsi:type="dcterms:W3CDTF">2020-05-18T23:06:00Z</dcterms:created>
  <dcterms:modified xsi:type="dcterms:W3CDTF">2020-06-04T14:28:00Z</dcterms:modified>
</cp:coreProperties>
</file>